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853"/>
      </w:tblGrid>
      <w:tr w:rsidR="00C54178" w:rsidTr="00030F41">
        <w:tc>
          <w:tcPr>
            <w:tcW w:w="5136" w:type="dxa"/>
            <w:hideMark/>
          </w:tcPr>
          <w:p w:rsidR="00C54178" w:rsidRDefault="00C54178" w:rsidP="00030F4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40"/>
                <w:szCs w:val="40"/>
                <w:lang w:eastAsia="ru-RU"/>
              </w:rPr>
              <w:t>№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34</w:t>
            </w:r>
          </w:p>
          <w:p w:rsidR="00C54178" w:rsidRDefault="00C54178" w:rsidP="00030F4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 декабря 2024г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.                         </w:t>
            </w:r>
          </w:p>
        </w:tc>
        <w:tc>
          <w:tcPr>
            <w:tcW w:w="5137" w:type="dxa"/>
          </w:tcPr>
          <w:p w:rsidR="00C54178" w:rsidRDefault="00C54178" w:rsidP="00030F4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Газета администрации                                 муниципального   образования</w:t>
            </w:r>
          </w:p>
          <w:p w:rsidR="00C54178" w:rsidRDefault="00C54178" w:rsidP="00030F4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Новокрасненского сельсовета                                                                                      Чистоозерного района</w:t>
            </w:r>
          </w:p>
          <w:p w:rsidR="00C54178" w:rsidRDefault="00C54178" w:rsidP="00030F4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C54178" w:rsidRDefault="00C54178" w:rsidP="00030F4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54178" w:rsidRDefault="00C54178" w:rsidP="00C54178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C54178" w:rsidRDefault="00C54178" w:rsidP="00C54178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C54178" w:rsidRDefault="00C54178" w:rsidP="00C54178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Основана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 26 февраля 2006 года</w:t>
      </w: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Решением двенадцатой сессии</w:t>
      </w: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Новокрасненского Совета депутатов  </w:t>
      </w: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  <w:r>
        <w:rPr>
          <w:rFonts w:eastAsia="Times New Roman"/>
          <w:b/>
          <w:i/>
          <w:caps/>
          <w:sz w:val="72"/>
          <w:szCs w:val="72"/>
          <w:lang w:eastAsia="ru-RU"/>
        </w:rPr>
        <w:t>ВЕСТНИК    МО</w:t>
      </w: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caps/>
          <w:sz w:val="72"/>
          <w:szCs w:val="72"/>
          <w:lang w:eastAsia="ru-RU"/>
        </w:rPr>
      </w:pP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Официальные  документы администрации Новокрасненского сельсовета</w:t>
      </w:r>
    </w:p>
    <w:p w:rsidR="00C54178" w:rsidRDefault="00C54178" w:rsidP="00C54178">
      <w:pPr>
        <w:spacing w:after="0" w:line="240" w:lineRule="auto"/>
        <w:jc w:val="center"/>
        <w:rPr>
          <w:rFonts w:eastAsia="Times New Roman"/>
          <w:b/>
          <w:i/>
          <w:caps/>
          <w:sz w:val="28"/>
          <w:szCs w:val="28"/>
          <w:lang w:eastAsia="ru-RU"/>
        </w:rPr>
      </w:pPr>
      <w:r>
        <w:rPr>
          <w:rFonts w:eastAsia="Times New Roman"/>
          <w:b/>
          <w:i/>
          <w:caps/>
          <w:sz w:val="28"/>
          <w:szCs w:val="28"/>
          <w:lang w:eastAsia="ru-RU"/>
        </w:rPr>
        <w:t>и Новокрасненского Совета дЕпутатов</w:t>
      </w:r>
    </w:p>
    <w:p w:rsidR="00C54178" w:rsidRDefault="00C54178" w:rsidP="00C54178">
      <w:pPr>
        <w:jc w:val="both"/>
        <w:rPr>
          <w:rFonts w:eastAsia="Times New Roman"/>
          <w:lang w:eastAsia="ru-RU"/>
        </w:rPr>
      </w:pPr>
    </w:p>
    <w:p w:rsidR="00C54178" w:rsidRDefault="00C54178" w:rsidP="00C54178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C54178" w:rsidRDefault="00C54178" w:rsidP="00C54178">
      <w:pPr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Учредитель: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Администрация МО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                 Н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 xml:space="preserve">аш адрес: 632723                                          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Новокрасненского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Новосибирская область                               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сельсовета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Чистоозерный район                                     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>Чистоозерного района</w:t>
      </w:r>
      <w:r>
        <w:rPr>
          <w:rFonts w:eastAsia="Times New Roman"/>
          <w:b/>
          <w:i/>
          <w:sz w:val="28"/>
          <w:szCs w:val="28"/>
          <w:lang w:eastAsia="ru-RU"/>
        </w:rPr>
        <w:tab/>
        <w:t>село Новокрасное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</w:t>
      </w:r>
      <w:proofErr w:type="gramStart"/>
      <w:r>
        <w:rPr>
          <w:rFonts w:eastAsia="Times New Roman"/>
          <w:b/>
          <w:i/>
          <w:sz w:val="28"/>
          <w:szCs w:val="28"/>
          <w:lang w:eastAsia="ru-RU"/>
        </w:rPr>
        <w:t>Новосибирской</w:t>
      </w:r>
      <w:proofErr w:type="gramEnd"/>
      <w:r>
        <w:rPr>
          <w:rFonts w:eastAsia="Times New Roman"/>
          <w:b/>
          <w:i/>
          <w:sz w:val="28"/>
          <w:szCs w:val="28"/>
          <w:lang w:eastAsia="ru-RU"/>
        </w:rPr>
        <w:tab/>
        <w:t xml:space="preserve">улица Молодежная, 39                                                </w:t>
      </w:r>
    </w:p>
    <w:p w:rsidR="00C54178" w:rsidRDefault="00C54178" w:rsidP="00C54178">
      <w:pPr>
        <w:tabs>
          <w:tab w:val="right" w:pos="9355"/>
        </w:tabs>
        <w:spacing w:after="0" w:line="240" w:lineRule="auto"/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 xml:space="preserve">          области</w:t>
      </w:r>
      <w:r>
        <w:rPr>
          <w:rFonts w:eastAsia="Times New Roman"/>
          <w:b/>
          <w:i/>
          <w:sz w:val="20"/>
          <w:szCs w:val="20"/>
          <w:lang w:eastAsia="ru-RU"/>
        </w:rPr>
        <w:tab/>
        <w:t>телефон 8(383 68) 92 344</w:t>
      </w:r>
    </w:p>
    <w:p w:rsidR="00C54178" w:rsidRDefault="00C54178" w:rsidP="00C5417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54178" w:rsidRDefault="00C54178" w:rsidP="00C54178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Редактор:  М.Б.Шапилова </w:t>
      </w:r>
    </w:p>
    <w:p w:rsidR="00C54178" w:rsidRDefault="00C54178" w:rsidP="00C54178">
      <w:pPr>
        <w:spacing w:after="0" w:line="240" w:lineRule="auto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 xml:space="preserve">                                                                                                           Ответственный секретарь</w:t>
      </w:r>
    </w:p>
    <w:p w:rsidR="00C54178" w:rsidRDefault="00C54178" w:rsidP="00C54178">
      <w:pPr>
        <w:tabs>
          <w:tab w:val="left" w:pos="7317"/>
          <w:tab w:val="right" w:pos="9782"/>
        </w:tabs>
        <w:spacing w:after="0" w:line="240" w:lineRule="auto"/>
        <w:ind w:right="-427"/>
        <w:jc w:val="right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ab/>
        <w:t xml:space="preserve">   Л.В.Рамусь</w:t>
      </w:r>
      <w:r>
        <w:rPr>
          <w:rFonts w:eastAsia="Times New Roman"/>
          <w:b/>
          <w:i/>
          <w:lang w:eastAsia="ru-RU"/>
        </w:rPr>
        <w:tab/>
        <w:t xml:space="preserve">                                                                                                                                                      </w:t>
      </w:r>
    </w:p>
    <w:p w:rsidR="00C54178" w:rsidRDefault="00C54178" w:rsidP="00C54178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C54178" w:rsidRDefault="00C54178" w:rsidP="00C54178">
      <w:pPr>
        <w:jc w:val="right"/>
        <w:rPr>
          <w:rFonts w:eastAsia="Times New Roman"/>
          <w:b/>
          <w:i/>
          <w:sz w:val="20"/>
          <w:szCs w:val="20"/>
          <w:lang w:eastAsia="ru-RU"/>
        </w:rPr>
      </w:pPr>
    </w:p>
    <w:p w:rsidR="00C54178" w:rsidRDefault="00C54178" w:rsidP="00C54178">
      <w:pPr>
        <w:jc w:val="both"/>
        <w:rPr>
          <w:rFonts w:eastAsia="Times New Roman"/>
          <w:b/>
          <w:i/>
          <w:sz w:val="20"/>
          <w:szCs w:val="20"/>
          <w:lang w:eastAsia="ru-RU"/>
        </w:rPr>
      </w:pPr>
      <w:r>
        <w:rPr>
          <w:rFonts w:eastAsia="Times New Roman"/>
          <w:b/>
          <w:i/>
          <w:sz w:val="20"/>
          <w:szCs w:val="20"/>
          <w:lang w:eastAsia="ru-RU"/>
        </w:rPr>
        <w:t>тираж 50 экземпляров</w:t>
      </w:r>
    </w:p>
    <w:p w:rsidR="00C54178" w:rsidRDefault="00C54178" w:rsidP="00C54178"/>
    <w:p w:rsidR="00D3069A" w:rsidRPr="00D3069A" w:rsidRDefault="00D3069A" w:rsidP="00D3069A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3069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>ИНФОРМАЦИЯ ПРОКУРАТУРЫ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:</w:t>
      </w:r>
    </w:p>
    <w:p w:rsidR="00D3069A" w:rsidRPr="00D3069A" w:rsidRDefault="00D3069A" w:rsidP="00D3069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3069A" w:rsidRPr="00D3069A" w:rsidRDefault="00D3069A" w:rsidP="00D3069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D3069A">
        <w:rPr>
          <w:rFonts w:ascii="Times New Roman" w:eastAsia="Times New Roman" w:hAnsi="Times New Roman"/>
          <w:b/>
          <w:sz w:val="40"/>
          <w:szCs w:val="40"/>
          <w:lang w:eastAsia="ru-RU"/>
        </w:rPr>
        <w:t>Прокуратурой Чистоозерного района организована работа «горячей линии» по вопросам соблюдения прав граждан в сфере теплоснабжения. Обращаться по телефону 91-767.</w:t>
      </w:r>
    </w:p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/>
    <w:p w:rsidR="00D3069A" w:rsidRDefault="00D3069A" w:rsidP="00C54178">
      <w:bookmarkStart w:id="0" w:name="_GoBack"/>
      <w:bookmarkEnd w:id="0"/>
    </w:p>
    <w:p w:rsidR="00D3069A" w:rsidRDefault="00D3069A" w:rsidP="00C54178"/>
    <w:p w:rsidR="00C54178" w:rsidRDefault="00C54178" w:rsidP="00C54178">
      <w:pPr>
        <w:shd w:val="clear" w:color="auto" w:fill="FFFFFF"/>
        <w:spacing w:after="675" w:line="585" w:lineRule="atLeast"/>
        <w:outlineLvl w:val="0"/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</w:pPr>
      <w:r w:rsidRPr="00C54178"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lastRenderedPageBreak/>
        <w:t xml:space="preserve">Прокуратура информирует: </w:t>
      </w:r>
    </w:p>
    <w:p w:rsidR="00C54178" w:rsidRPr="00C54178" w:rsidRDefault="00C54178" w:rsidP="00C54178">
      <w:pPr>
        <w:shd w:val="clear" w:color="auto" w:fill="FFFFFF"/>
        <w:spacing w:after="675" w:line="585" w:lineRule="atLeast"/>
        <w:outlineLvl w:val="0"/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</w:pPr>
      <w:r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t>1)</w:t>
      </w:r>
      <w:r w:rsidRPr="00C54178"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t>"Какая ответственность установлена за оставление места дорожн</w:t>
      </w:r>
      <w:proofErr w:type="gramStart"/>
      <w:r w:rsidRPr="00C54178"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t>о-</w:t>
      </w:r>
      <w:proofErr w:type="gramEnd"/>
      <w:r w:rsidRPr="00C54178">
        <w:rPr>
          <w:rFonts w:ascii="Inter" w:eastAsia="Times New Roman" w:hAnsi="Inter"/>
          <w:b/>
          <w:bCs/>
          <w:color w:val="101010"/>
          <w:kern w:val="36"/>
          <w:sz w:val="48"/>
          <w:szCs w:val="48"/>
          <w:lang w:eastAsia="ru-RU"/>
        </w:rPr>
        <w:t xml:space="preserve"> транспортного происшествия?"</w:t>
      </w:r>
    </w:p>
    <w:p w:rsidR="00C54178" w:rsidRDefault="00C54178">
      <w:r w:rsidRPr="00C54178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dmnovokrasn.nso.ru/sites/admnovokrasn.nso.ru/wodby_files/files/news/2024/12/uezd-s-mesta-dt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admnovokrasn.nso.ru/sites/admnovokrasn.nso.ru/wodby_files/files/news/2024/12/uezd-s-mesta-dtp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pyj0mGAMAADo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34075" cy="3114675"/>
            <wp:effectExtent l="0" t="0" r="9525" b="9525"/>
            <wp:docPr id="3" name="Рисунок 3" descr="C:\Users\Новокрасное\Desktop\уезд-с-места-Д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вокрасное\Desktop\уезд-с-места-ДТ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78" w:rsidRPr="00C54178" w:rsidRDefault="00C54178" w:rsidP="00C54178"/>
    <w:p w:rsidR="00C54178" w:rsidRDefault="00C54178" w:rsidP="00C54178"/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В случае дорожно-транспортного происшествия (далее – ДТП) на водителя транспортного средства, причастного к нему, возлагается ряд обязанностей, к числу которых относится запрет на покидание места ДТП, даже в случаях, когда водитель не является виновником ДТП. Считается, что водитель оставил место ДТП, участником которого являлся, если он: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оставил место ДТП до того, как сотрудники полиции оформили ДТП;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оставил место ДТП до заполнения бланка извещения о ДТП (</w:t>
      </w:r>
      <w:proofErr w:type="spell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европротокола</w:t>
      </w:r>
      <w:proofErr w:type="spell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не вернулся к месту ДТП после того, как доставил пострадавшего на своем автомобиле в лечебное учреждение, - в экстренном случае при невозможности отправить пострадавшего на попутном автомобиле.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водитель, причастный к ДТП, вправе оставить место ДТП, если документы о ДТП можно оформить без участия сотрудников полиции. 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он вправе сделать это, если при необходимости оформления документов сотрудниками полиции и при условии соблюдения предусмотренных Правилами дорожного движения (далее – ПДД, утв. Постановлением Правительства Российской Федерации от 23.10.1993 № 1090) требований получит от сотрудника полиции указание о месте оформления ДТП (п. 2.6.1 ПДД).</w:t>
      </w:r>
    </w:p>
    <w:p w:rsidR="00C54178" w:rsidRPr="00C54178" w:rsidRDefault="00C54178" w:rsidP="00C54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 оставление водителем в нарушение ПДД места ДТП, участником которого он являлся, ч. 2 ст. 12.27 КоАП РФ предусмотрена административная ответственность в виде лишения права управления транспортными средствами на срок от года до полутора лет или административного ареста на срок до 15 суток. </w:t>
      </w:r>
    </w:p>
    <w:p w:rsidR="00C54178" w:rsidRPr="00C54178" w:rsidRDefault="00C54178" w:rsidP="00C54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​​​​​​​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  <w:t>За нарушение водителем ПДД или правил эксплуатации автомобиля, если эти нарушения сопряжены с оставлением водителем места ДТП, предусмотрена уголовная ответственность в случае: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причинения тяжкого вреда здоровью человека – в виде принудительных работ на срок до 5 лет с лишением права занимать определенные должности или заниматься определенной деятельностью на срок до 3 лет либо в виде лишения свободы на срок от 3 до 7 лет с лишением права занимать определенные должности или заниматься определенной деятельностью на срок до 3 лет (п. «б» ч. 2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264 УК РФ);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смерти человека – в виде лишения свободы на срок от 5 до 12 лет с лишением права занимать определенные должности или заниматься определенной деятельностью на срок до 3 лет (п. «б» ч. 4 ст. 264 УК РФ);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- смерти двух и более лиц – в виде лишения свободы на срок от 8 до 15 лет с лишением права занимать определенные должности или заниматься определенной деятельностью на срок до 3 лет (п. «б» ч. 6 ст. 264 УК РФ).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C541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Какая ответственность установлена за уклонение от военной службы?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В случае уклонения призывника от призыва на военную службу призывная комиссия или военный комиссар муниципального образования (муниципальных образований), в котором состоит на учете призывник, направляет соответствующие материалы руководителю следственного органа Следственного комитета Российской Федерации по месту жительства призывника для решения вопроса о привлечении его в соответствии с законодательством РФ к ответственности (п. 12 «Положения о призыве на военную службу граждан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Федерации», утв. постановлением Правительства РФ от 11.11.2006 № 663).</w:t>
      </w:r>
      <w:proofErr w:type="gramEnd"/>
    </w:p>
    <w:p w:rsidR="00C54178" w:rsidRPr="00C54178" w:rsidRDefault="00C54178" w:rsidP="00C54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За уклонение от призыва на военную службу при отсутствии законных оснований для освобождения от этой службы предусмотрена уголовная ответственность в виде штрафа в размере до 200 000 руб. или в размере заработной платы или иного дохода осужденного за период до 18 месяцев, либо принудительных работ на срок до двух лет, либо ареста на срок до шести месяцев, либо лишения свободы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срок до двух лет (ч. 1 ст. 328 УК РФ).</w:t>
      </w:r>
    </w:p>
    <w:p w:rsidR="00C54178" w:rsidRPr="00C54178" w:rsidRDefault="00C54178" w:rsidP="00C54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Данная ответственность наступает вне зависимости от способа совершения преступления, а также от того, уклонялся ли призывник только от очередного призыва на военную службу или имел цель совсем избежать несения военной службы по призыву (п. 4 постановления Пленума Верховного Суда РФ от 03.04.2008 № 3 «О практике рассмотрения судами уголовных дел об уклонении от призыва на военную службу и от прохождения альтернативной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гражданской службы»).</w:t>
      </w:r>
    </w:p>
    <w:p w:rsidR="00C54178" w:rsidRPr="00C54178" w:rsidRDefault="00C54178" w:rsidP="00C541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​​​​​​​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  <w:t>Кроме того согласно ч. 4 ст. 71 Федерального закона от 28.03.1998 № 53-ФЗ «О воинской обязанности и военной службе» в случае неявки без уважительной причины гражданина, состоящего на воинском учете или не состоящего, но обязанного состоять на воинском учете, по врученной повестке по истечении 20 календарных дней со дня, указанного в повестке, к данному гражданину применяются временные меры, направленные на обеспечение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явки в военный комиссариат, а именно: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запрет на государственную регистрацию физических лиц в качестве индивидуальных предпринимателей;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запрет на постановку на учет в налоговом органе физического лица в качестве </w:t>
      </w:r>
      <w:proofErr w:type="spell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самозанятого</w:t>
      </w:r>
      <w:proofErr w:type="spell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(налогоплательщика, применяющего специальный налоговый режим «Налог на профессиональный доход»);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 внесения сведений о недвижимом имуществе призывника в государственный кадастровый учет и (или) государственной регистрации прав, осуществляемые в соответствии с Федеральным законом от 13.07.2015 года № 218-ФЗ «О государственной регистрации недвижимости»;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невозможность получить водительские права, а 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случае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их наличия невозможность осуществлять управление автомобилем;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запрет на государственную регистрацию транспортных средств, осуществляемую в порядке, установленном Федеральным законом от 03.08.2018 года № 283-ФЗ «О государственной регистрации транспортных сре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дств в Р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оссийской Федерации и о внесении изменений в отдельные законодательные акты Российской Федерации»;</w:t>
      </w:r>
    </w:p>
    <w:p w:rsidR="00C54178" w:rsidRPr="00C54178" w:rsidRDefault="00C54178" w:rsidP="00C541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отказ в заключени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кредитного договора, договора займа.</w:t>
      </w:r>
    </w:p>
    <w:p w:rsidR="00C54178" w:rsidRPr="00C54178" w:rsidRDefault="00C54178" w:rsidP="00C54178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C541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Уголовная ответственность за хищение денежных сре</w:t>
      </w:r>
      <w:proofErr w:type="gramStart"/>
      <w:r w:rsidRPr="00C541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дств с ч</w:t>
      </w:r>
      <w:proofErr w:type="gramEnd"/>
      <w:r w:rsidRPr="00C54178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ужой банковской карты.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На территории Чистоозерного района Новосибирской области  не редки случаи хищения финансовых сре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дств с б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анковского счета потерпевшего. 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Подобные действия являются преступлением, ответственность за которые предусмотрена п. «г» ч.3 ст.158 УК РФ. Среди обывателей зачастую бытует мнение, что найденная банковская карта, является находкой, в 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пользоваться деньгами, находящимися на банковском счете, к которому привязана чужая банковская карта, можно свободно и в личных целях. При этом </w:t>
      </w:r>
      <w:proofErr w:type="spell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обналичивание</w:t>
      </w:r>
      <w:proofErr w:type="spell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финансовых сре</w:t>
      </w: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дств с д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анной карты или оплата за 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покупки, по мнению некоторых граждан, не является противоправным деянием. 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этой связи разъясняется, что тайное использование безналичных денежных средств постороннего лица в личных целях является преступлением, а именно кражей. </w:t>
      </w:r>
    </w:p>
    <w:p w:rsidR="00C54178" w:rsidRPr="00C54178" w:rsidRDefault="00C54178" w:rsidP="00C541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В отличие от обычного хищения чужого имущества, кража с банковской карты (счета) является тяжким преступлением независимо от суммы похищенного, за которое предусмотрено наказание в виде штрафа в размере от ста тысяч до пятисот тысяч рублей, или в размере заработной платы или иного дохода осужденного за период от одного года до трех лет, либо принудительных работ на срок до пяти лет</w:t>
      </w:r>
      <w:proofErr w:type="gramEnd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 с ограничением свободы на срок до полутора лет или без такового, либо лишения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полутора.</w:t>
      </w:r>
    </w:p>
    <w:p w:rsidR="00C54178" w:rsidRPr="00C54178" w:rsidRDefault="00C54178" w:rsidP="00C5417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54178" w:rsidRPr="00C54178" w:rsidRDefault="00C54178" w:rsidP="00C54178">
      <w:pPr>
        <w:spacing w:after="0" w:line="240" w:lineRule="exact"/>
        <w:ind w:right="23"/>
        <w:jc w:val="both"/>
        <w:rPr>
          <w:rFonts w:ascii="Arial" w:eastAsia="Times New Roman" w:hAnsi="Arial"/>
          <w:b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Прокурор Чистоозерного района </w:t>
      </w: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советник юстиции </w:t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И.А. </w:t>
      </w:r>
      <w:proofErr w:type="spellStart"/>
      <w:r w:rsidRPr="00C54178">
        <w:rPr>
          <w:rFonts w:ascii="Times New Roman" w:eastAsia="Times New Roman" w:hAnsi="Times New Roman"/>
          <w:sz w:val="28"/>
          <w:szCs w:val="28"/>
          <w:lang w:eastAsia="ru-RU"/>
        </w:rPr>
        <w:t>Рехлинг</w:t>
      </w:r>
      <w:proofErr w:type="spellEnd"/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4178" w:rsidRPr="00C54178" w:rsidRDefault="00C54178" w:rsidP="00C54178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7714" w:rsidRPr="00C54178" w:rsidRDefault="00337714" w:rsidP="00C54178">
      <w:pPr>
        <w:tabs>
          <w:tab w:val="left" w:pos="2115"/>
        </w:tabs>
      </w:pPr>
    </w:p>
    <w:sectPr w:rsidR="00337714" w:rsidRPr="00C5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C08"/>
    <w:multiLevelType w:val="multilevel"/>
    <w:tmpl w:val="8848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123B1"/>
    <w:multiLevelType w:val="hybridMultilevel"/>
    <w:tmpl w:val="21FE7C52"/>
    <w:lvl w:ilvl="0" w:tplc="C87CDF6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78"/>
    <w:rsid w:val="00337714"/>
    <w:rsid w:val="006E19BA"/>
    <w:rsid w:val="008402A3"/>
    <w:rsid w:val="00C54178"/>
    <w:rsid w:val="00D3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7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1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541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78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1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178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541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2024-12-10T09:15:00Z</dcterms:created>
  <dcterms:modified xsi:type="dcterms:W3CDTF">2024-12-11T02:52:00Z</dcterms:modified>
</cp:coreProperties>
</file>